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6392FFBA" w:rsidR="00372E35" w:rsidRPr="00222C9E" w:rsidRDefault="00372E35" w:rsidP="008E2353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754F0" w:rsidRPr="00F754F0">
        <w:rPr>
          <w:rFonts w:ascii="Arial" w:hAnsi="Arial" w:cs="Arial"/>
          <w:sz w:val="20"/>
          <w:szCs w:val="20"/>
        </w:rPr>
        <w:t>Servicio en cooperación y relaciones internacionales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4542BC0" w:rsidR="00372E35" w:rsidRPr="00222C9E" w:rsidRDefault="00F754F0" w:rsidP="00F00DAA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4F0">
              <w:rPr>
                <w:rFonts w:ascii="Arial" w:hAnsi="Arial" w:cs="Arial"/>
                <w:sz w:val="20"/>
                <w:szCs w:val="20"/>
              </w:rPr>
              <w:t>Servicio en cooperación y relaciones internacionales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4F0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72EF38-60AC-4620-8B8C-D53AB436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13</cp:revision>
  <cp:lastPrinted>2024-02-28T21:23:00Z</cp:lastPrinted>
  <dcterms:created xsi:type="dcterms:W3CDTF">2024-03-06T13:58:00Z</dcterms:created>
  <dcterms:modified xsi:type="dcterms:W3CDTF">2024-08-05T19:25:00Z</dcterms:modified>
</cp:coreProperties>
</file>