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173207DD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90A9C" w:rsidRPr="00BE0452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</w:t>
      </w:r>
      <w:r w:rsidR="00E1101E">
        <w:rPr>
          <w:rFonts w:ascii="Arial" w:hAnsi="Arial" w:cs="Arial"/>
          <w:bCs/>
          <w:color w:val="000000" w:themeColor="text1"/>
          <w:sz w:val="22"/>
          <w:szCs w:val="22"/>
        </w:rPr>
        <w:t xml:space="preserve">Especializado en Análisis de Datos y Estadística 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  <w:bookmarkStart w:id="0" w:name="_GoBack"/>
      <w:bookmarkEnd w:id="0"/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C207BBF" w:rsidR="00F90A9C" w:rsidRPr="00F90A9C" w:rsidRDefault="00E1101E" w:rsidP="00F90A9C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Especializado en Análisis de Datos y Estadística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01E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E3C3D1-8FF2-4670-93A9-AEA2581F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18</cp:revision>
  <cp:lastPrinted>2024-02-28T21:23:00Z</cp:lastPrinted>
  <dcterms:created xsi:type="dcterms:W3CDTF">2024-03-06T13:58:00Z</dcterms:created>
  <dcterms:modified xsi:type="dcterms:W3CDTF">2025-01-24T21:08:00Z</dcterms:modified>
</cp:coreProperties>
</file>